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32" w:rsidRPr="00CA31E3" w:rsidRDefault="00CA31E3" w:rsidP="00666B4E">
      <w:pPr>
        <w:pStyle w:val="Default"/>
        <w:framePr w:w="9498" w:wrap="auto" w:vAnchor="page" w:hAnchor="page" w:x="1292" w:y="1083"/>
        <w:jc w:val="right"/>
        <w:rPr>
          <w:rFonts w:asciiTheme="majorHAnsi" w:hAnsiTheme="majorHAnsi"/>
          <w:color w:val="auto"/>
          <w:sz w:val="22"/>
          <w:szCs w:val="22"/>
        </w:rPr>
      </w:pPr>
      <w:r w:rsidRPr="00CA31E3">
        <w:rPr>
          <w:rFonts w:asciiTheme="majorHAnsi" w:hAnsiTheme="majorHAnsi"/>
          <w:sz w:val="22"/>
          <w:szCs w:val="22"/>
        </w:rPr>
        <w:t xml:space="preserve">Załącznik nr </w:t>
      </w:r>
      <w:bookmarkStart w:id="0" w:name="_GoBack"/>
      <w:bookmarkEnd w:id="0"/>
      <w:r w:rsidR="00666B4E" w:rsidRPr="00CA31E3">
        <w:rPr>
          <w:rFonts w:asciiTheme="majorHAnsi" w:hAnsiTheme="majorHAnsi"/>
          <w:color w:val="auto"/>
          <w:sz w:val="22"/>
          <w:szCs w:val="22"/>
        </w:rPr>
        <w:t xml:space="preserve">5b </w:t>
      </w:r>
    </w:p>
    <w:p w:rsidR="00E01642" w:rsidRPr="00D6182D" w:rsidRDefault="00E01642" w:rsidP="00E01642">
      <w:pPr>
        <w:pStyle w:val="Default"/>
        <w:rPr>
          <w:rFonts w:asciiTheme="majorHAnsi" w:hAnsiTheme="majorHAnsi"/>
        </w:rPr>
      </w:pPr>
    </w:p>
    <w:p w:rsidR="00E01642" w:rsidRPr="00D6182D" w:rsidRDefault="00D6182D" w:rsidP="00443FA3">
      <w:pPr>
        <w:pStyle w:val="Default"/>
        <w:rPr>
          <w:rFonts w:asciiTheme="majorHAnsi" w:hAnsiTheme="majorHAnsi"/>
        </w:rPr>
      </w:pPr>
      <w:r w:rsidRPr="00D6182D">
        <w:rPr>
          <w:rFonts w:asciiTheme="majorHAnsi" w:hAnsiTheme="majorHAnsi"/>
        </w:rPr>
        <w:tab/>
      </w:r>
    </w:p>
    <w:tbl>
      <w:tblPr>
        <w:tblpPr w:leftFromText="141" w:rightFromText="141" w:bottomFromText="200" w:vertAnchor="page" w:horzAnchor="margin" w:tblpXSpec="center" w:tblpY="1441"/>
        <w:tblW w:w="11055" w:type="dxa"/>
        <w:tblLayout w:type="fixed"/>
        <w:tblLook w:val="04A0" w:firstRow="1" w:lastRow="0" w:firstColumn="1" w:lastColumn="0" w:noHBand="0" w:noVBand="1"/>
      </w:tblPr>
      <w:tblGrid>
        <w:gridCol w:w="2539"/>
        <w:gridCol w:w="380"/>
        <w:gridCol w:w="1617"/>
        <w:gridCol w:w="2474"/>
        <w:gridCol w:w="4045"/>
      </w:tblGrid>
      <w:tr w:rsidR="00E01642" w:rsidTr="00E01642">
        <w:tc>
          <w:tcPr>
            <w:tcW w:w="2539" w:type="dxa"/>
            <w:vAlign w:val="center"/>
          </w:tcPr>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r>
              <w:rPr>
                <w:rFonts w:ascii="Arial" w:hAnsi="Arial" w:cs="Arial"/>
                <w:b/>
                <w:noProof/>
                <w:sz w:val="16"/>
                <w:szCs w:val="16"/>
              </w:rPr>
              <w:drawing>
                <wp:inline distT="0" distB="0" distL="0" distR="0">
                  <wp:extent cx="1341120" cy="5410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1020"/>
                          </a:xfrm>
                          <a:prstGeom prst="rect">
                            <a:avLst/>
                          </a:prstGeom>
                          <a:noFill/>
                          <a:ln>
                            <a:noFill/>
                          </a:ln>
                        </pic:spPr>
                      </pic:pic>
                    </a:graphicData>
                  </a:graphic>
                </wp:inline>
              </w:drawing>
            </w: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p w:rsidR="00E01642" w:rsidRDefault="00E01642" w:rsidP="00E01642">
            <w:pPr>
              <w:jc w:val="center"/>
              <w:rPr>
                <w:rFonts w:ascii="Palatino Linotype" w:eastAsia="GungsuhChe" w:hAnsi="Palatino Linotype" w:cs="Andalus"/>
                <w:b/>
                <w:sz w:val="2"/>
                <w:szCs w:val="2"/>
              </w:rPr>
            </w:pPr>
          </w:p>
        </w:tc>
        <w:tc>
          <w:tcPr>
            <w:tcW w:w="1997" w:type="dxa"/>
            <w:gridSpan w:val="2"/>
            <w:vAlign w:val="center"/>
            <w:hideMark/>
          </w:tcPr>
          <w:p w:rsidR="00E01642" w:rsidRDefault="00E01642" w:rsidP="00E01642">
            <w:pPr>
              <w:jc w:val="center"/>
              <w:rPr>
                <w:rFonts w:ascii="Palatino Linotype" w:eastAsia="GungsuhChe" w:hAnsi="Palatino Linotype" w:cs="Andalus"/>
                <w:sz w:val="2"/>
                <w:szCs w:val="2"/>
              </w:rPr>
            </w:pPr>
            <w:r>
              <w:rPr>
                <w:rFonts w:ascii="Arial" w:hAnsi="Arial" w:cs="Arial"/>
                <w:b/>
                <w:noProof/>
                <w:sz w:val="16"/>
                <w:szCs w:val="16"/>
              </w:rPr>
              <w:drawing>
                <wp:inline distT="0" distB="0" distL="0" distR="0">
                  <wp:extent cx="1028700" cy="7239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2474" w:type="dxa"/>
            <w:vAlign w:val="center"/>
            <w:hideMark/>
          </w:tcPr>
          <w:p w:rsidR="00E01642" w:rsidRDefault="00E01642" w:rsidP="00E01642">
            <w:pPr>
              <w:jc w:val="center"/>
              <w:rPr>
                <w:rFonts w:ascii="Palatino Linotype" w:eastAsia="GungsuhChe" w:hAnsi="Palatino Linotype" w:cs="Andalus"/>
                <w:sz w:val="2"/>
                <w:szCs w:val="2"/>
              </w:rPr>
            </w:pPr>
            <w:r>
              <w:rPr>
                <w:rFonts w:ascii="Arial" w:hAnsi="Arial" w:cs="Arial"/>
                <w:noProof/>
                <w:sz w:val="24"/>
              </w:rPr>
              <w:drawing>
                <wp:inline distT="0" distB="0" distL="0" distR="0">
                  <wp:extent cx="1318260" cy="678180"/>
                  <wp:effectExtent l="0" t="0" r="0" b="7620"/>
                  <wp:docPr id="3" name="Obraz 3" descr="OK_Brama_na_Podlasi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K_Brama_na_Podlasie-16"/>
                          <pic:cNvPicPr>
                            <a:picLocks noChangeAspect="1" noChangeArrowheads="1"/>
                          </pic:cNvPicPr>
                        </pic:nvPicPr>
                        <pic:blipFill>
                          <a:blip r:embed="rId10">
                            <a:extLst>
                              <a:ext uri="{28A0092B-C50C-407E-A947-70E740481C1C}">
                                <a14:useLocalDpi xmlns:a14="http://schemas.microsoft.com/office/drawing/2010/main" val="0"/>
                              </a:ext>
                            </a:extLst>
                          </a:blip>
                          <a:srcRect l="30579" t="39468" r="28430" b="39999"/>
                          <a:stretch>
                            <a:fillRect/>
                          </a:stretch>
                        </pic:blipFill>
                        <pic:spPr bwMode="auto">
                          <a:xfrm>
                            <a:off x="0" y="0"/>
                            <a:ext cx="1318260" cy="678180"/>
                          </a:xfrm>
                          <a:prstGeom prst="rect">
                            <a:avLst/>
                          </a:prstGeom>
                          <a:noFill/>
                          <a:ln>
                            <a:noFill/>
                          </a:ln>
                        </pic:spPr>
                      </pic:pic>
                    </a:graphicData>
                  </a:graphic>
                </wp:inline>
              </w:drawing>
            </w:r>
          </w:p>
        </w:tc>
        <w:tc>
          <w:tcPr>
            <w:tcW w:w="4045" w:type="dxa"/>
            <w:vAlign w:val="center"/>
            <w:hideMark/>
          </w:tcPr>
          <w:p w:rsidR="00E01642" w:rsidRDefault="00E01642" w:rsidP="00E01642">
            <w:pPr>
              <w:jc w:val="center"/>
              <w:rPr>
                <w:rFonts w:ascii="Palatino Linotype" w:eastAsia="GungsuhChe" w:hAnsi="Palatino Linotype" w:cs="Andalus"/>
                <w:sz w:val="2"/>
                <w:szCs w:val="2"/>
              </w:rPr>
            </w:pPr>
            <w:r>
              <w:rPr>
                <w:noProof/>
              </w:rPr>
              <w:drawing>
                <wp:inline distT="0" distB="0" distL="0" distR="0">
                  <wp:extent cx="1965960" cy="647700"/>
                  <wp:effectExtent l="0" t="0" r="0" b="0"/>
                  <wp:docPr id="1" name="Obraz 1" descr="Znalezione obrazy dla zapytania logo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logo ef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647700"/>
                          </a:xfrm>
                          <a:prstGeom prst="rect">
                            <a:avLst/>
                          </a:prstGeom>
                          <a:noFill/>
                          <a:ln>
                            <a:noFill/>
                          </a:ln>
                        </pic:spPr>
                      </pic:pic>
                    </a:graphicData>
                  </a:graphic>
                </wp:inline>
              </w:drawing>
            </w:r>
          </w:p>
        </w:tc>
      </w:tr>
      <w:tr w:rsidR="00E01642" w:rsidTr="00E01642">
        <w:trPr>
          <w:gridAfter w:val="3"/>
          <w:wAfter w:w="8136" w:type="dxa"/>
        </w:trPr>
        <w:tc>
          <w:tcPr>
            <w:tcW w:w="2919" w:type="dxa"/>
            <w:gridSpan w:val="2"/>
            <w:vAlign w:val="center"/>
          </w:tcPr>
          <w:p w:rsidR="00E01642" w:rsidRDefault="00E01642" w:rsidP="00E01642">
            <w:pPr>
              <w:jc w:val="center"/>
              <w:rPr>
                <w:rFonts w:ascii="Palatino Linotype" w:eastAsia="GungsuhChe" w:hAnsi="Palatino Linotype" w:cs="Andalus"/>
                <w:b/>
                <w:sz w:val="2"/>
                <w:szCs w:val="2"/>
              </w:rPr>
            </w:pPr>
          </w:p>
        </w:tc>
      </w:tr>
    </w:tbl>
    <w:p w:rsidR="00851196" w:rsidRPr="00E31103" w:rsidRDefault="00D6182D" w:rsidP="00443FA3">
      <w:pPr>
        <w:pStyle w:val="Default"/>
        <w:rPr>
          <w:rFonts w:asciiTheme="majorHAnsi" w:hAnsiTheme="majorHAnsi"/>
          <w:color w:val="auto"/>
        </w:rPr>
      </w:pPr>
      <w:r w:rsidRPr="00D6182D">
        <w:rPr>
          <w:rFonts w:asciiTheme="majorHAnsi" w:hAnsiTheme="majorHAnsi"/>
        </w:rPr>
        <w:tab/>
      </w:r>
      <w:r w:rsidRPr="00D6182D">
        <w:rPr>
          <w:rFonts w:asciiTheme="majorHAnsi" w:hAnsiTheme="majorHAnsi"/>
        </w:rPr>
        <w:tab/>
      </w:r>
      <w:r w:rsidR="00E01642">
        <w:rPr>
          <w:rFonts w:asciiTheme="majorHAnsi" w:hAnsiTheme="majorHAnsi"/>
        </w:rPr>
        <w:t xml:space="preserve">            </w:t>
      </w: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C96457" w:rsidP="00443FA3">
      <w:pPr>
        <w:pStyle w:val="Default"/>
        <w:jc w:val="center"/>
        <w:rPr>
          <w:rFonts w:asciiTheme="majorHAnsi" w:hAnsiTheme="majorHAnsi"/>
          <w:i/>
          <w:color w:val="auto"/>
        </w:rPr>
      </w:pPr>
      <w:r>
        <w:rPr>
          <w:rFonts w:asciiTheme="majorHAnsi" w:hAnsiTheme="majorHAnsi"/>
          <w:i/>
          <w:color w:val="auto"/>
        </w:rPr>
        <w:t xml:space="preserve">Wysokie Mazowieckie, </w:t>
      </w:r>
      <w:r w:rsidRPr="00C96457">
        <w:rPr>
          <w:rFonts w:asciiTheme="majorHAnsi" w:hAnsiTheme="majorHAnsi"/>
          <w:i/>
          <w:color w:val="auto"/>
        </w:rPr>
        <w:t>16.06</w:t>
      </w:r>
      <w:r w:rsidR="00CE4878" w:rsidRPr="00C96457">
        <w:rPr>
          <w:rFonts w:asciiTheme="majorHAnsi" w:hAnsiTheme="majorHAnsi"/>
          <w:i/>
          <w:color w:val="auto"/>
        </w:rPr>
        <w:t xml:space="preserve"> </w:t>
      </w:r>
      <w:r w:rsidR="00B20569" w:rsidRPr="00C96457">
        <w:rPr>
          <w:rFonts w:asciiTheme="majorHAnsi" w:hAnsiTheme="majorHAnsi"/>
          <w:i/>
          <w:color w:val="auto"/>
        </w:rPr>
        <w:t>201</w:t>
      </w:r>
      <w:r w:rsidR="00796D95" w:rsidRPr="00C96457">
        <w:rPr>
          <w:rFonts w:asciiTheme="majorHAnsi" w:hAnsiTheme="majorHAnsi"/>
          <w:i/>
          <w:color w:val="auto"/>
        </w:rPr>
        <w:t>7</w:t>
      </w:r>
      <w:r w:rsidR="00202702" w:rsidRPr="00C96457">
        <w:rPr>
          <w:rFonts w:asciiTheme="majorHAnsi" w:hAnsiTheme="majorHAnsi"/>
          <w:i/>
          <w:color w:val="auto"/>
        </w:rPr>
        <w:t xml:space="preserve"> </w:t>
      </w:r>
      <w:r w:rsidR="003241C8" w:rsidRPr="00C96457">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even" r:id="rId12"/>
          <w:headerReference w:type="default" r:id="rId13"/>
          <w:footerReference w:type="even" r:id="rId14"/>
          <w:footerReference w:type="default" r:id="rId15"/>
          <w:headerReference w:type="first" r:id="rId16"/>
          <w:footerReference w:type="first" r:id="rId17"/>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C96457" w:rsidRDefault="00C96457">
      <w:pPr>
        <w:rPr>
          <w:rFonts w:asciiTheme="majorHAnsi" w:hAnsiTheme="majorHAnsi" w:cs="Times New Roman"/>
          <w:sz w:val="24"/>
          <w:szCs w:val="24"/>
        </w:rPr>
      </w:pPr>
      <w:r>
        <w:rPr>
          <w:rFonts w:asciiTheme="majorHAnsi" w:hAnsiTheme="majorHAnsi"/>
        </w:rPr>
        <w:br w:type="page"/>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8"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9"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20"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w:t>
      </w:r>
      <w:r w:rsidRPr="00654FF7">
        <w:rPr>
          <w:rFonts w:asciiTheme="majorHAnsi" w:hAnsiTheme="majorHAnsi"/>
          <w:color w:val="auto"/>
        </w:rPr>
        <w:lastRenderedPageBreak/>
        <w:t>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C96457" w:rsidRDefault="00C96457" w:rsidP="00A57A2D">
      <w:pPr>
        <w:pStyle w:val="Default"/>
        <w:spacing w:after="120"/>
        <w:jc w:val="both"/>
        <w:rPr>
          <w:rFonts w:asciiTheme="majorHAnsi" w:hAnsiTheme="majorHAnsi"/>
          <w:color w:val="auto"/>
        </w:rPr>
      </w:pP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21"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w:t>
      </w:r>
      <w:r w:rsidRPr="00BA5391">
        <w:rPr>
          <w:rFonts w:asciiTheme="majorHAnsi" w:hAnsiTheme="majorHAnsi" w:cs="Times New Roman"/>
          <w:sz w:val="24"/>
          <w:szCs w:val="24"/>
        </w:rPr>
        <w:lastRenderedPageBreak/>
        <w:t>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AF" w:rsidRDefault="00B16CAF" w:rsidP="00851196">
      <w:pPr>
        <w:spacing w:after="0" w:line="240" w:lineRule="auto"/>
      </w:pPr>
      <w:r>
        <w:separator/>
      </w:r>
    </w:p>
  </w:endnote>
  <w:endnote w:type="continuationSeparator" w:id="0">
    <w:p w:rsidR="00B16CAF" w:rsidRDefault="00B16CAF"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ungsuh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E3" w:rsidRDefault="00CA31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7002FB">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E3" w:rsidRDefault="00CA31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AF" w:rsidRDefault="00B16CAF" w:rsidP="00851196">
      <w:pPr>
        <w:spacing w:after="0" w:line="240" w:lineRule="auto"/>
      </w:pPr>
      <w:r>
        <w:separator/>
      </w:r>
    </w:p>
  </w:footnote>
  <w:footnote w:type="continuationSeparator" w:id="0">
    <w:p w:rsidR="00B16CAF" w:rsidRDefault="00B16CAF"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E3" w:rsidRDefault="00CA31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3C" w:rsidRDefault="0030553C" w:rsidP="00657405">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E3" w:rsidRDefault="00CA31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0C05"/>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66B4E"/>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2FB"/>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306"/>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49E"/>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238"/>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6CAF"/>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01A2"/>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96457"/>
    <w:rsid w:val="00CA0F92"/>
    <w:rsid w:val="00CA2CCD"/>
    <w:rsid w:val="00CA31E3"/>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1642"/>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2C7F"/>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18687"/>
  <w15:docId w15:val="{383D261D-3B24-42E2-BC2A-8E52918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3437010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klimada.mos.gov.pl/blog/2015/10/30/poradnik_przygotowania_inwestycj/" TargetMode="External"/><Relationship Id="rId3" Type="http://schemas.openxmlformats.org/officeDocument/2006/relationships/styles" Target="styles.xml"/><Relationship Id="rId21" Type="http://schemas.openxmlformats.org/officeDocument/2006/relationships/hyperlink" Target="http://klimada.mos.gov.pl/adaptacja-do-zmian-klimatu/perspektywa-finansowa-2014-20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BB0A-488D-4551-80E0-B4D7747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3749</Words>
  <Characters>22496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Admin</cp:lastModifiedBy>
  <cp:revision>7</cp:revision>
  <cp:lastPrinted>2017-02-22T09:18:00Z</cp:lastPrinted>
  <dcterms:created xsi:type="dcterms:W3CDTF">2017-06-10T07:13:00Z</dcterms:created>
  <dcterms:modified xsi:type="dcterms:W3CDTF">2017-06-12T09:13:00Z</dcterms:modified>
</cp:coreProperties>
</file>